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ACC" w:rsidRPr="00111F8B" w:rsidRDefault="00B11ACC" w:rsidP="00B11ACC">
      <w:pPr>
        <w:pStyle w:val="Header"/>
        <w:tabs>
          <w:tab w:val="right" w:pos="9639"/>
        </w:tabs>
        <w:rPr>
          <w:rFonts w:eastAsia="SimSun"/>
          <w:noProof w:val="0"/>
          <w:sz w:val="24"/>
          <w:szCs w:val="24"/>
          <w:lang w:eastAsia="zh-CN"/>
        </w:rPr>
      </w:pPr>
      <w:bookmarkStart w:id="0" w:name="_GoBack"/>
      <w:bookmarkEnd w:id="0"/>
      <w:r w:rsidRPr="00111F8B">
        <w:rPr>
          <w:rFonts w:eastAsia="SimSun"/>
          <w:noProof w:val="0"/>
          <w:sz w:val="24"/>
          <w:szCs w:val="24"/>
          <w:lang w:eastAsia="zh-CN"/>
        </w:rPr>
        <w:t>3GPP TSG-RAN WG4 Meeting #84</w:t>
      </w:r>
      <w:r w:rsidRPr="00111F8B">
        <w:rPr>
          <w:rFonts w:eastAsia="SimSun"/>
          <w:noProof w:val="0"/>
          <w:sz w:val="24"/>
          <w:szCs w:val="24"/>
          <w:lang w:eastAsia="zh-CN"/>
        </w:rPr>
        <w:tab/>
      </w:r>
      <w:r w:rsidRPr="00B11ACC">
        <w:rPr>
          <w:rFonts w:eastAsia="SimSun"/>
          <w:noProof w:val="0"/>
          <w:sz w:val="24"/>
          <w:szCs w:val="24"/>
          <w:lang w:eastAsia="zh-CN"/>
        </w:rPr>
        <w:t>R4-1707598</w:t>
      </w:r>
    </w:p>
    <w:p w:rsidR="00B11ACC" w:rsidRPr="00111F8B" w:rsidRDefault="00B11ACC" w:rsidP="00B11ACC">
      <w:pPr>
        <w:pStyle w:val="Header"/>
        <w:tabs>
          <w:tab w:val="right" w:pos="9639"/>
        </w:tabs>
        <w:rPr>
          <w:rFonts w:eastAsia="SimSun"/>
          <w:noProof w:val="0"/>
          <w:sz w:val="24"/>
          <w:szCs w:val="24"/>
          <w:lang w:eastAsia="zh-CN"/>
        </w:rPr>
      </w:pPr>
      <w:r w:rsidRPr="00111F8B">
        <w:rPr>
          <w:rFonts w:eastAsia="SimSun"/>
          <w:noProof w:val="0"/>
          <w:sz w:val="24"/>
          <w:szCs w:val="24"/>
          <w:lang w:eastAsia="zh-CN"/>
        </w:rPr>
        <w:t>Berlin, Germany, 21 - 25 August, 2017</w:t>
      </w:r>
    </w:p>
    <w:p w:rsidR="00247988" w:rsidRDefault="00247988" w:rsidP="00247988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bookmarkStart w:id="1" w:name="_Hlk490220161"/>
      <w:r w:rsidR="00B11ACC">
        <w:rPr>
          <w:sz w:val="22"/>
        </w:rPr>
        <w:t>Nokia, Nokia</w:t>
      </w:r>
      <w:r w:rsidR="00B11ACC" w:rsidRPr="00B11ACC">
        <w:rPr>
          <w:sz w:val="22"/>
        </w:rPr>
        <w:t xml:space="preserve"> Shanghai Bell, Skyworks Solutions, Inc.</w:t>
      </w:r>
      <w:bookmarkEnd w:id="1"/>
    </w:p>
    <w:p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bookmarkStart w:id="2" w:name="_Hlk490220151"/>
      <w:r w:rsidR="00B11ACC" w:rsidRPr="00B11ACC">
        <w:rPr>
          <w:sz w:val="22"/>
        </w:rPr>
        <w:t>S6 Contiguous MPR and UE assum</w:t>
      </w:r>
      <w:r w:rsidR="00A610E5">
        <w:rPr>
          <w:sz w:val="22"/>
        </w:rPr>
        <w:t>p</w:t>
      </w:r>
      <w:r w:rsidR="00B11ACC" w:rsidRPr="00B11ACC">
        <w:rPr>
          <w:sz w:val="22"/>
        </w:rPr>
        <w:t>tions</w:t>
      </w:r>
      <w:bookmarkEnd w:id="2"/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B11ACC" w:rsidRPr="00B11ACC">
        <w:rPr>
          <w:b/>
          <w:sz w:val="22"/>
        </w:rPr>
        <w:t>9.4.3.1.2</w:t>
      </w:r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11ACC">
        <w:rPr>
          <w:sz w:val="22"/>
        </w:rPr>
        <w:t>Approval</w:t>
      </w:r>
    </w:p>
    <w:p w:rsidR="0043450E" w:rsidRDefault="0043450E" w:rsidP="0043450E">
      <w:pPr>
        <w:pStyle w:val="Heading1"/>
      </w:pPr>
      <w:r>
        <w:t>1</w:t>
      </w:r>
      <w:r>
        <w:tab/>
        <w:t>Introduction</w:t>
      </w:r>
    </w:p>
    <w:p w:rsidR="0043450E" w:rsidRPr="00D97FE6" w:rsidRDefault="00AE6987" w:rsidP="0043450E">
      <w:r>
        <w:t xml:space="preserve">In this contribution we present </w:t>
      </w:r>
      <w:r w:rsidR="008B1F1B">
        <w:t xml:space="preserve">simulated </w:t>
      </w:r>
      <w:r>
        <w:t xml:space="preserve">MPR results for CP-OFDM and DFT-s-OFDM based </w:t>
      </w:r>
      <w:r w:rsidR="008B1F1B">
        <w:t xml:space="preserve">waveforms. </w:t>
      </w:r>
      <w:r w:rsidR="00D15C64">
        <w:t>The simulations have been re-done from [1]</w:t>
      </w:r>
      <w:r w:rsidR="00D86D51">
        <w:t>, to account for slightly relaxed transmitter assumptions.</w:t>
      </w:r>
    </w:p>
    <w:p w:rsidR="0043450E" w:rsidRDefault="0043450E" w:rsidP="0043450E">
      <w:pPr>
        <w:pStyle w:val="Heading1"/>
      </w:pPr>
      <w:bookmarkStart w:id="3" w:name="_Toc286177644"/>
      <w:r>
        <w:t>2</w:t>
      </w:r>
      <w:r>
        <w:tab/>
        <w:t>Discussion</w:t>
      </w:r>
    </w:p>
    <w:p w:rsidR="005269FC" w:rsidRDefault="005269FC" w:rsidP="005269FC">
      <w:pPr>
        <w:pStyle w:val="Heading2"/>
      </w:pPr>
      <w:r>
        <w:t>2.1</w:t>
      </w:r>
      <w:r>
        <w:tab/>
      </w:r>
      <w:r w:rsidR="008D6A8F">
        <w:t>Evaluation</w:t>
      </w:r>
      <w:r>
        <w:t xml:space="preserve"> assumptions</w:t>
      </w:r>
    </w:p>
    <w:p w:rsidR="003F1E75" w:rsidRPr="003F1E75" w:rsidRDefault="003F1E75" w:rsidP="003F1E75">
      <w:pPr>
        <w:pStyle w:val="Heading3"/>
      </w:pPr>
      <w:r>
        <w:t>2.1.1</w:t>
      </w:r>
      <w:r>
        <w:tab/>
        <w:t>Tx chain assum</w:t>
      </w:r>
      <w:r w:rsidR="009D30E5">
        <w:t>p</w:t>
      </w:r>
      <w:r>
        <w:t>tions</w:t>
      </w:r>
    </w:p>
    <w:p w:rsidR="0071408B" w:rsidRDefault="0071408B" w:rsidP="005269FC">
      <w:r>
        <w:t xml:space="preserve">PA calibration point was 0 dB </w:t>
      </w:r>
      <w:r w:rsidR="009D30E5">
        <w:t xml:space="preserve">MPR </w:t>
      </w:r>
      <w:r>
        <w:t xml:space="preserve">with </w:t>
      </w:r>
      <w:r w:rsidRPr="0071408B">
        <w:t>100 RB QPSK DFT-s-OFDM (15KHz SCS)</w:t>
      </w:r>
      <w:r>
        <w:t xml:space="preserve"> signal as proposed in [</w:t>
      </w:r>
      <w:r w:rsidR="00D15C64">
        <w:t>2</w:t>
      </w:r>
      <w:r>
        <w:t>]</w:t>
      </w:r>
      <w:r w:rsidR="009D30E5">
        <w:t>.</w:t>
      </w:r>
    </w:p>
    <w:p w:rsidR="008B1F1B" w:rsidRDefault="008B1F1B" w:rsidP="005269FC"/>
    <w:p w:rsidR="007329FE" w:rsidRDefault="00D86D51" w:rsidP="005269FC">
      <w:r>
        <w:t xml:space="preserve">The IQ suppression was 30 dBc, as the highest modulation order is 64-QAM. </w:t>
      </w:r>
      <w:r w:rsidR="0071408B" w:rsidRPr="008B1F1B">
        <w:t xml:space="preserve">LO leakage </w:t>
      </w:r>
      <w:r w:rsidR="00904226" w:rsidRPr="008B1F1B">
        <w:t xml:space="preserve">was </w:t>
      </w:r>
      <w:r w:rsidR="0071408B" w:rsidRPr="008B1F1B">
        <w:t>28</w:t>
      </w:r>
      <w:r w:rsidR="00B11ACC">
        <w:t xml:space="preserve"> dBc</w:t>
      </w:r>
      <w:r w:rsidR="00904226" w:rsidRPr="008B1F1B">
        <w:t>.</w:t>
      </w:r>
      <w:r w:rsidR="00C40932">
        <w:t xml:space="preserve"> These values differ from the ones used in [1], but are more stringent than basic LTE requirements.</w:t>
      </w:r>
    </w:p>
    <w:p w:rsidR="00D86D51" w:rsidRDefault="00D86D51" w:rsidP="005269FC">
      <w:r>
        <w:t>For 20 MHz channel, 106 RBs using 15 kHz subcarrier spacing were used. The spectral confinement method was WOLA with slope length corresponding to 2% of the symbol + CP duration. No additional channel filtering was used.</w:t>
      </w:r>
      <w:r w:rsidR="00FE097A">
        <w:t xml:space="preserve"> For NR without LTE sharing, there is no 7.5 kHz frequency shift, meaning that one subcarrier is at the center frequency. </w:t>
      </w:r>
    </w:p>
    <w:p w:rsidR="002B0D79" w:rsidRPr="00536341" w:rsidRDefault="002B0D79" w:rsidP="005269FC">
      <w:pPr>
        <w:rPr>
          <w:b/>
        </w:rPr>
      </w:pPr>
      <w:r w:rsidRPr="00536341">
        <w:rPr>
          <w:b/>
        </w:rPr>
        <w:t>Proposal: Use following UE Tx chain assumptions for NR Sub 6 GHz MPR simulations for modulations up to 64-QAM</w:t>
      </w:r>
    </w:p>
    <w:p w:rsidR="002B0D79" w:rsidRPr="00536341" w:rsidRDefault="002B0D79" w:rsidP="00536341">
      <w:pPr>
        <w:pStyle w:val="ListParagraph"/>
        <w:numPr>
          <w:ilvl w:val="0"/>
          <w:numId w:val="14"/>
        </w:numPr>
        <w:rPr>
          <w:b/>
        </w:rPr>
      </w:pPr>
      <w:r w:rsidRPr="00536341">
        <w:rPr>
          <w:b/>
        </w:rPr>
        <w:t>PA calibration point: No MPR allowed for 100 RB QPSK DFT-s-OFDM (15KHz SCS) signal</w:t>
      </w:r>
    </w:p>
    <w:p w:rsidR="002B0D79" w:rsidRPr="00536341" w:rsidRDefault="002B0D79" w:rsidP="00536341">
      <w:pPr>
        <w:pStyle w:val="ListParagraph"/>
        <w:numPr>
          <w:ilvl w:val="0"/>
          <w:numId w:val="14"/>
        </w:numPr>
        <w:rPr>
          <w:b/>
        </w:rPr>
      </w:pPr>
      <w:r w:rsidRPr="00536341">
        <w:rPr>
          <w:b/>
        </w:rPr>
        <w:t>IQ suppression 30 dBc</w:t>
      </w:r>
    </w:p>
    <w:p w:rsidR="002B0D79" w:rsidRPr="00536341" w:rsidRDefault="002B0D79" w:rsidP="00536341">
      <w:pPr>
        <w:pStyle w:val="ListParagraph"/>
        <w:numPr>
          <w:ilvl w:val="0"/>
          <w:numId w:val="14"/>
        </w:numPr>
        <w:rPr>
          <w:b/>
        </w:rPr>
      </w:pPr>
      <w:r w:rsidRPr="00536341">
        <w:rPr>
          <w:b/>
        </w:rPr>
        <w:t>Carrier leakage 28 dBc</w:t>
      </w:r>
    </w:p>
    <w:p w:rsidR="002B0D79" w:rsidRPr="00536341" w:rsidRDefault="002B0D79" w:rsidP="00536341">
      <w:pPr>
        <w:pStyle w:val="ListParagraph"/>
        <w:numPr>
          <w:ilvl w:val="0"/>
          <w:numId w:val="14"/>
        </w:numPr>
        <w:rPr>
          <w:b/>
        </w:rPr>
      </w:pPr>
      <w:r w:rsidRPr="00536341">
        <w:rPr>
          <w:b/>
        </w:rPr>
        <w:t>CIM3 = 60 dBc</w:t>
      </w:r>
    </w:p>
    <w:p w:rsidR="00847CB5" w:rsidRDefault="00847CB5" w:rsidP="00847CB5">
      <w:pPr>
        <w:pStyle w:val="Heading3"/>
      </w:pPr>
      <w:r>
        <w:t>2.1.</w:t>
      </w:r>
      <w:r w:rsidR="009D30E5">
        <w:t>2</w:t>
      </w:r>
      <w:r>
        <w:tab/>
        <w:t>Emission requirements</w:t>
      </w:r>
    </w:p>
    <w:p w:rsidR="00122059" w:rsidRDefault="0071408B" w:rsidP="0071408B">
      <w:pPr>
        <w:ind w:left="360"/>
      </w:pPr>
      <w:r>
        <w:t xml:space="preserve">LTE </w:t>
      </w:r>
      <w:r w:rsidRPr="00AA78D5">
        <w:rPr>
          <w:b/>
        </w:rPr>
        <w:t xml:space="preserve">SEM </w:t>
      </w:r>
      <w:r>
        <w:t xml:space="preserve">for 20 MHz bandwidth </w:t>
      </w:r>
      <w:r w:rsidR="008B1F1B">
        <w:t xml:space="preserve">and NR SEM for 100 MHz </w:t>
      </w:r>
      <w:r>
        <w:t xml:space="preserve">as </w:t>
      </w:r>
      <w:r w:rsidR="00C40932">
        <w:t xml:space="preserve">agreed </w:t>
      </w:r>
      <w:r>
        <w:t>in [</w:t>
      </w:r>
      <w:r w:rsidR="00C40932">
        <w:t>3</w:t>
      </w:r>
      <w:r>
        <w:t>]</w:t>
      </w:r>
      <w:r w:rsidR="008B1F1B">
        <w:t xml:space="preserve"> and presented in Table 2</w:t>
      </w:r>
    </w:p>
    <w:p w:rsidR="008B1F1B" w:rsidRPr="004275DE" w:rsidRDefault="008B1F1B" w:rsidP="004275DE">
      <w:pPr>
        <w:jc w:val="center"/>
        <w:rPr>
          <w:b/>
        </w:rPr>
      </w:pPr>
      <w:r w:rsidRPr="004275DE">
        <w:rPr>
          <w:b/>
        </w:rPr>
        <w:t xml:space="preserve">Table </w:t>
      </w:r>
      <w:r w:rsidRPr="004275DE">
        <w:rPr>
          <w:b/>
        </w:rPr>
        <w:fldChar w:fldCharType="begin"/>
      </w:r>
      <w:r w:rsidRPr="004275DE">
        <w:rPr>
          <w:b/>
        </w:rPr>
        <w:instrText xml:space="preserve"> SEQ Table \* ARABIC </w:instrText>
      </w:r>
      <w:r w:rsidRPr="004275DE">
        <w:rPr>
          <w:b/>
        </w:rPr>
        <w:fldChar w:fldCharType="separate"/>
      </w:r>
      <w:r w:rsidR="00971D19">
        <w:rPr>
          <w:b/>
          <w:noProof/>
        </w:rPr>
        <w:t>2</w:t>
      </w:r>
      <w:r w:rsidRPr="004275DE">
        <w:rPr>
          <w:b/>
        </w:rPr>
        <w:fldChar w:fldCharType="end"/>
      </w:r>
      <w:r w:rsidRPr="004275DE">
        <w:rPr>
          <w:b/>
        </w:rPr>
        <w:t>: SEM</w:t>
      </w:r>
    </w:p>
    <w:tbl>
      <w:tblPr>
        <w:tblW w:w="88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8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1440"/>
      </w:tblGrid>
      <w:tr w:rsidR="008B1F1B" w:rsidTr="003871CE">
        <w:trPr>
          <w:cantSplit/>
          <w:trHeight w:val="78"/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eastAsia="Calibri"/>
                <w:sz w:val="20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Δf</w:t>
            </w:r>
            <w:r w:rsidRPr="00323BF3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OOB</w:t>
            </w:r>
          </w:p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eastAsia="Calibri"/>
                <w:sz w:val="20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eastAsia="Calibri"/>
                <w:sz w:val="20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eastAsia="Calibri"/>
                <w:sz w:val="20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eastAsia="Calibri"/>
                <w:sz w:val="20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</w:p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40</w:t>
            </w:r>
          </w:p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eastAsia="Calibri"/>
                <w:sz w:val="20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50</w:t>
            </w:r>
          </w:p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60</w:t>
            </w:r>
          </w:p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80</w:t>
            </w:r>
          </w:p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eastAsia="Calibri"/>
                <w:sz w:val="20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Measurement bandwidth</w:t>
            </w:r>
          </w:p>
        </w:tc>
      </w:tr>
      <w:tr w:rsidR="008B1F1B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± 0-1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-18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30 kHz</w:t>
            </w:r>
          </w:p>
        </w:tc>
      </w:tr>
      <w:tr w:rsidR="008B1F1B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± 1-</w:t>
            </w:r>
            <w:r w:rsidRPr="00323BF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MHz</w:t>
            </w:r>
          </w:p>
        </w:tc>
      </w:tr>
      <w:tr w:rsidR="008B1F1B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± 5-6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  <w:vAlign w:val="center"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  <w:vAlign w:val="center"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  <w:vAlign w:val="center"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  <w:vAlign w:val="center"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± 6-10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± 10-15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± 15-20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± 20-25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± 25-30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± 30-40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± 40-4</w:t>
            </w:r>
            <w:r w:rsidRPr="00323BF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± 45-50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± 55-60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± 60-65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630" w:type="dxa"/>
            <w:vMerge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± 65-80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± 80-85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± 85-100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± 100-105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B1F1B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B1F1B" w:rsidRDefault="008B1F1B" w:rsidP="0071408B">
      <w:pPr>
        <w:ind w:left="360"/>
      </w:pPr>
    </w:p>
    <w:p w:rsidR="00122059" w:rsidRDefault="00122059" w:rsidP="0071408B">
      <w:pPr>
        <w:ind w:left="360"/>
      </w:pPr>
      <w:r>
        <w:t xml:space="preserve">NR </w:t>
      </w:r>
      <w:r w:rsidR="0071408B" w:rsidRPr="00AA78D5">
        <w:rPr>
          <w:b/>
        </w:rPr>
        <w:t>ACLR</w:t>
      </w:r>
      <w:r w:rsidR="0071408B">
        <w:t xml:space="preserve"> as</w:t>
      </w:r>
      <w:r>
        <w:t xml:space="preserve"> agreed in [3]</w:t>
      </w:r>
      <w:r w:rsidR="009D30E5">
        <w:t>, i.e.</w:t>
      </w:r>
      <w:r>
        <w:t xml:space="preserve"> </w:t>
      </w:r>
      <w:r w:rsidR="009D30E5">
        <w:t>for 20 MHz channel, the adjacent channel is also 20 MHz. For measurement bandwidth on the transmit channel and the adjacent channel we use the transmission bandwidth increased by 1 subcarrier to make the MBW symmetric, as proposed in [</w:t>
      </w:r>
      <w:r w:rsidR="00C40932">
        <w:t>4</w:t>
      </w:r>
      <w:r w:rsidR="009D30E5">
        <w:t>]</w:t>
      </w:r>
      <w:r w:rsidR="00C40932">
        <w:t>, for a total of 19.095 MHz in this case</w:t>
      </w:r>
      <w:r w:rsidR="009D30E5">
        <w:t>. UTRA ACLR evaluations are not performed.</w:t>
      </w:r>
    </w:p>
    <w:p w:rsidR="0071408B" w:rsidRDefault="0071408B" w:rsidP="0071408B">
      <w:pPr>
        <w:ind w:left="360"/>
      </w:pPr>
      <w:r w:rsidRPr="00AA78D5">
        <w:rPr>
          <w:b/>
        </w:rPr>
        <w:t>EVM</w:t>
      </w:r>
      <w:r>
        <w:t xml:space="preserve"> as </w:t>
      </w:r>
      <w:r w:rsidR="00C40932">
        <w:t xml:space="preserve">agreed </w:t>
      </w:r>
      <w:r>
        <w:t>in [</w:t>
      </w:r>
      <w:r w:rsidR="00C40932">
        <w:t>3</w:t>
      </w:r>
      <w:r>
        <w:t>]</w:t>
      </w:r>
      <w:r w:rsidR="008B1F1B">
        <w:t xml:space="preserve"> and presented in Table 3</w:t>
      </w:r>
    </w:p>
    <w:p w:rsidR="008B1F1B" w:rsidRPr="004275DE" w:rsidRDefault="008B1F1B" w:rsidP="004275DE">
      <w:pPr>
        <w:jc w:val="center"/>
        <w:rPr>
          <w:b/>
        </w:rPr>
      </w:pPr>
      <w:r w:rsidRPr="004275DE">
        <w:rPr>
          <w:b/>
        </w:rPr>
        <w:t xml:space="preserve">Table </w:t>
      </w:r>
      <w:r w:rsidRPr="004275DE">
        <w:rPr>
          <w:b/>
        </w:rPr>
        <w:fldChar w:fldCharType="begin"/>
      </w:r>
      <w:r w:rsidRPr="004275DE">
        <w:rPr>
          <w:b/>
        </w:rPr>
        <w:instrText xml:space="preserve"> SEQ Table \* ARABIC </w:instrText>
      </w:r>
      <w:r w:rsidRPr="004275DE">
        <w:rPr>
          <w:b/>
        </w:rPr>
        <w:fldChar w:fldCharType="separate"/>
      </w:r>
      <w:r w:rsidR="00971D19">
        <w:rPr>
          <w:b/>
          <w:noProof/>
        </w:rPr>
        <w:t>3</w:t>
      </w:r>
      <w:r w:rsidRPr="004275DE">
        <w:rPr>
          <w:b/>
        </w:rPr>
        <w:fldChar w:fldCharType="end"/>
      </w:r>
      <w:r w:rsidRPr="004275DE">
        <w:rPr>
          <w:b/>
        </w:rPr>
        <w:t>: EVM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17"/>
        <w:gridCol w:w="733"/>
      </w:tblGrid>
      <w:tr w:rsidR="008B1F1B" w:rsidTr="008B1F1B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1F1B" w:rsidRPr="009D30E5" w:rsidRDefault="008B1F1B">
            <w:pPr>
              <w:spacing w:after="0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Modulation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1F1B" w:rsidRPr="009D30E5" w:rsidRDefault="008B1F1B">
            <w:pPr>
              <w:spacing w:after="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EVM</w:t>
            </w:r>
          </w:p>
        </w:tc>
      </w:tr>
      <w:tr w:rsidR="008B1F1B" w:rsidTr="008B1F1B">
        <w:trPr>
          <w:trHeight w:val="2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1F1B" w:rsidRPr="009D30E5" w:rsidRDefault="008B1F1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QPSK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1F1B" w:rsidRPr="009D30E5" w:rsidRDefault="008B1F1B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17.5%</w:t>
            </w:r>
          </w:p>
        </w:tc>
      </w:tr>
      <w:tr w:rsidR="008B1F1B" w:rsidTr="008B1F1B">
        <w:trPr>
          <w:trHeight w:val="25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1F1B" w:rsidRDefault="008B1F1B">
            <w:pPr>
              <w:spacing w:after="0"/>
              <w:rPr>
                <w:lang w:val="fi-FI"/>
              </w:rPr>
            </w:pPr>
            <w:r>
              <w:rPr>
                <w:lang w:val="en-US"/>
              </w:rPr>
              <w:t>16QAM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1F1B" w:rsidRDefault="008B1F1B">
            <w:pPr>
              <w:spacing w:after="0"/>
              <w:jc w:val="center"/>
              <w:rPr>
                <w:lang w:val="fi-FI"/>
              </w:rPr>
            </w:pPr>
            <w:r>
              <w:rPr>
                <w:lang w:val="en-US"/>
              </w:rPr>
              <w:t>12.5%</w:t>
            </w:r>
          </w:p>
        </w:tc>
      </w:tr>
      <w:tr w:rsidR="008B1F1B" w:rsidTr="008B1F1B">
        <w:trPr>
          <w:trHeight w:val="23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1F1B" w:rsidRDefault="008B1F1B">
            <w:pPr>
              <w:spacing w:after="0"/>
              <w:rPr>
                <w:lang w:val="fi-FI"/>
              </w:rPr>
            </w:pPr>
            <w:r>
              <w:rPr>
                <w:lang w:val="en-US"/>
              </w:rPr>
              <w:t>64QAM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1F1B" w:rsidRDefault="008B1F1B">
            <w:pPr>
              <w:spacing w:after="0"/>
              <w:jc w:val="center"/>
              <w:rPr>
                <w:lang w:val="fi-FI"/>
              </w:rPr>
            </w:pPr>
            <w:r>
              <w:rPr>
                <w:lang w:val="en-US"/>
              </w:rPr>
              <w:t>8%</w:t>
            </w:r>
          </w:p>
        </w:tc>
      </w:tr>
      <w:tr w:rsidR="008B1F1B" w:rsidTr="008B1F1B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1F1B" w:rsidRDefault="008B1F1B">
            <w:pPr>
              <w:spacing w:after="0"/>
              <w:rPr>
                <w:lang w:val="fi-FI"/>
              </w:rPr>
            </w:pPr>
            <w:r>
              <w:rPr>
                <w:lang w:val="en-US"/>
              </w:rPr>
              <w:t>256QAM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1F1B" w:rsidRDefault="008B1F1B">
            <w:pPr>
              <w:spacing w:after="0"/>
              <w:jc w:val="center"/>
              <w:rPr>
                <w:lang w:val="fi-FI"/>
              </w:rPr>
            </w:pPr>
            <w:r>
              <w:rPr>
                <w:lang w:val="en-US"/>
              </w:rPr>
              <w:t>3.5%</w:t>
            </w:r>
          </w:p>
        </w:tc>
      </w:tr>
    </w:tbl>
    <w:p w:rsidR="008B1F1B" w:rsidRDefault="008B1F1B" w:rsidP="0071408B">
      <w:pPr>
        <w:ind w:left="360"/>
      </w:pPr>
    </w:p>
    <w:p w:rsidR="00EA4C92" w:rsidRDefault="00B47478" w:rsidP="0071408B">
      <w:pPr>
        <w:ind w:left="360"/>
      </w:pPr>
      <w:r>
        <w:t>Standa</w:t>
      </w:r>
      <w:r w:rsidR="008B1F1B">
        <w:t xml:space="preserve">rd </w:t>
      </w:r>
      <w:r w:rsidR="00EA4C92">
        <w:t xml:space="preserve">LTE </w:t>
      </w:r>
      <w:r w:rsidR="00EA4C92" w:rsidRPr="00AA78D5">
        <w:rPr>
          <w:b/>
        </w:rPr>
        <w:t>In</w:t>
      </w:r>
      <w:r w:rsidR="009D30E5">
        <w:rPr>
          <w:b/>
        </w:rPr>
        <w:t>-</w:t>
      </w:r>
      <w:r w:rsidR="00EA4C92" w:rsidRPr="00AA78D5">
        <w:rPr>
          <w:b/>
        </w:rPr>
        <w:t>band emissions</w:t>
      </w:r>
      <w:r w:rsidR="0071408B">
        <w:t xml:space="preserve"> as </w:t>
      </w:r>
      <w:r w:rsidR="00FE097A">
        <w:t xml:space="preserve">agreed </w:t>
      </w:r>
      <w:r w:rsidR="0071408B">
        <w:t>in [</w:t>
      </w:r>
      <w:r w:rsidR="00FE097A">
        <w:t>3</w:t>
      </w:r>
      <w:r w:rsidR="0071408B">
        <w:t>]</w:t>
      </w:r>
      <w:r w:rsidR="00FE097A">
        <w:t xml:space="preserve"> until NR in-band emission requirements are available.</w:t>
      </w:r>
    </w:p>
    <w:p w:rsidR="00213924" w:rsidRPr="003F1E75" w:rsidRDefault="00213924" w:rsidP="00213924">
      <w:pPr>
        <w:pStyle w:val="Heading2"/>
      </w:pPr>
      <w:r>
        <w:t>2.2</w:t>
      </w:r>
      <w:r>
        <w:tab/>
        <w:t>Simulation results</w:t>
      </w:r>
    </w:p>
    <w:p w:rsidR="0043450E" w:rsidRDefault="00213924" w:rsidP="00213924">
      <w:pPr>
        <w:pStyle w:val="Heading3"/>
      </w:pPr>
      <w:r>
        <w:t>2.2.1</w:t>
      </w:r>
      <w:r>
        <w:tab/>
        <w:t>CP-OFDM</w:t>
      </w:r>
    </w:p>
    <w:p w:rsidR="00EA4C92" w:rsidRPr="00EA4C92" w:rsidRDefault="00EA4C92" w:rsidP="00EA4C92">
      <w:r>
        <w:t xml:space="preserve">Signal parameters </w:t>
      </w:r>
      <w:r w:rsidR="00686419">
        <w:t xml:space="preserve">are </w:t>
      </w:r>
      <w:r>
        <w:t>as follows</w:t>
      </w:r>
    </w:p>
    <w:p w:rsidR="00EA4C92" w:rsidRDefault="00EA4C92" w:rsidP="00EA4C92">
      <w:pPr>
        <w:pStyle w:val="ListParagraph"/>
        <w:numPr>
          <w:ilvl w:val="0"/>
          <w:numId w:val="2"/>
        </w:numPr>
      </w:pPr>
      <w:r>
        <w:t xml:space="preserve">Spectrum utilization </w:t>
      </w:r>
      <w:r w:rsidR="00234409">
        <w:t xml:space="preserve">of </w:t>
      </w:r>
      <w:r w:rsidR="00904226">
        <w:t>106</w:t>
      </w:r>
      <w:r>
        <w:t xml:space="preserve"> RB for </w:t>
      </w:r>
      <w:r w:rsidR="00904226">
        <w:t>2</w:t>
      </w:r>
      <w:r>
        <w:t>0 MHz signal</w:t>
      </w:r>
    </w:p>
    <w:p w:rsidR="009D30E5" w:rsidRDefault="009D30E5" w:rsidP="00EA4C92">
      <w:pPr>
        <w:pStyle w:val="ListParagraph"/>
        <w:numPr>
          <w:ilvl w:val="0"/>
          <w:numId w:val="2"/>
        </w:numPr>
      </w:pPr>
      <w:r>
        <w:t>Subcarrier #0 of RB#52 is at the center frequency</w:t>
      </w:r>
      <w:r w:rsidR="00EA6CE2">
        <w:t xml:space="preserve"> (i.e. no 7.5 kHz frequency shift)</w:t>
      </w:r>
    </w:p>
    <w:p w:rsidR="00512070" w:rsidRDefault="00122059" w:rsidP="003871CE">
      <w:pPr>
        <w:pStyle w:val="ListParagraph"/>
        <w:numPr>
          <w:ilvl w:val="0"/>
          <w:numId w:val="2"/>
        </w:numPr>
      </w:pPr>
      <w:r w:rsidRPr="00234409">
        <w:t>WOLA</w:t>
      </w:r>
      <w:r w:rsidR="00904226" w:rsidRPr="00234409">
        <w:t xml:space="preserve"> with slope length </w:t>
      </w:r>
      <w:r w:rsidR="00EA6CE2">
        <w:t>corresponding to 2% of the symbol + CP duration</w:t>
      </w:r>
    </w:p>
    <w:p w:rsidR="00EA6CE2" w:rsidRPr="00234409" w:rsidRDefault="00EA6CE2" w:rsidP="00EA6CE2">
      <w:pPr>
        <w:pStyle w:val="ListParagraph"/>
        <w:numPr>
          <w:ilvl w:val="0"/>
          <w:numId w:val="2"/>
        </w:numPr>
      </w:pPr>
      <w:r>
        <w:t>No baseband channel filter</w:t>
      </w:r>
    </w:p>
    <w:p w:rsidR="00374C57" w:rsidRDefault="00374C57" w:rsidP="00213924">
      <w:pPr>
        <w:rPr>
          <w:noProof/>
          <w:lang w:val="fi-FI" w:eastAsia="fi-FI"/>
        </w:rPr>
      </w:pPr>
      <w:r w:rsidRPr="008B1F1B">
        <w:rPr>
          <w:noProof/>
          <w:lang w:val="en-US" w:eastAsia="fi-FI"/>
        </w:rPr>
        <w:t xml:space="preserve"> </w:t>
      </w:r>
      <w:r w:rsidR="00B068AC">
        <w:rPr>
          <w:noProof/>
          <w:lang w:val="fi-FI" w:eastAsia="fi-FI"/>
        </w:rPr>
        <w:drawing>
          <wp:inline distT="0" distB="0" distL="0" distR="0" wp14:anchorId="070785A9" wp14:editId="469F6788">
            <wp:extent cx="2980800" cy="223161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orb1_20mhz_cpofdm_qpsk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800" cy="2231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68AC">
        <w:rPr>
          <w:noProof/>
          <w:lang w:val="fi-FI" w:eastAsia="fi-FI"/>
        </w:rPr>
        <w:drawing>
          <wp:inline distT="0" distB="0" distL="0" distR="0" wp14:anchorId="6C539CA7" wp14:editId="5EADA11C">
            <wp:extent cx="2980800" cy="223161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orb1_20mhz_cpofdm_16qam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800" cy="2231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3A70" w:rsidRDefault="00F03A70" w:rsidP="00213924">
      <w:r>
        <w:rPr>
          <w:noProof/>
          <w:lang w:val="fi-FI" w:eastAsia="fi-FI"/>
        </w:rPr>
        <w:lastRenderedPageBreak/>
        <w:drawing>
          <wp:inline distT="0" distB="0" distL="0" distR="0" wp14:anchorId="460AA57C" wp14:editId="217B589F">
            <wp:extent cx="2980800" cy="223161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orb1_20mhz_cpofdm_64qam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800" cy="2231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924" w:rsidRDefault="0037171D" w:rsidP="0037171D">
      <w:r>
        <w:t>QPSK</w:t>
      </w:r>
    </w:p>
    <w:p w:rsidR="00496756" w:rsidRDefault="0037171D" w:rsidP="003871CE">
      <w:pPr>
        <w:pStyle w:val="ListParagraph"/>
        <w:numPr>
          <w:ilvl w:val="0"/>
          <w:numId w:val="4"/>
        </w:numPr>
      </w:pPr>
      <w:r>
        <w:t xml:space="preserve">Small allocations (up to 3RB at edge and up to 8RB in the middle) do not need MPR. </w:t>
      </w:r>
    </w:p>
    <w:p w:rsidR="00B27152" w:rsidRDefault="00234409" w:rsidP="003871CE">
      <w:pPr>
        <w:pStyle w:val="ListParagraph"/>
        <w:numPr>
          <w:ilvl w:val="0"/>
          <w:numId w:val="4"/>
        </w:numPr>
      </w:pPr>
      <w:r>
        <w:t>Close to</w:t>
      </w:r>
      <w:r w:rsidR="00330BFB">
        <w:t xml:space="preserve"> edge f</w:t>
      </w:r>
      <w:r w:rsidR="0037171D">
        <w:t xml:space="preserve">or RBsize 4 – 15 RB  SEM is limiting and </w:t>
      </w:r>
      <w:r w:rsidR="00330BFB">
        <w:t xml:space="preserve">when RBsize &gt; 8 </w:t>
      </w:r>
      <w:r w:rsidR="0037171D">
        <w:t>NRaclr is limiting factor RB</w:t>
      </w:r>
    </w:p>
    <w:p w:rsidR="0037171D" w:rsidRDefault="00B27152" w:rsidP="003871CE">
      <w:pPr>
        <w:pStyle w:val="ListParagraph"/>
        <w:numPr>
          <w:ilvl w:val="0"/>
          <w:numId w:val="4"/>
        </w:numPr>
      </w:pPr>
      <w:r>
        <w:t>Typically for RBsize &lt; 80 allocations not at the edge of the channel, in-band emissions are limiting.</w:t>
      </w:r>
    </w:p>
    <w:p w:rsidR="0037171D" w:rsidRDefault="0037171D" w:rsidP="0037171D">
      <w:r>
        <w:t>16-QAM</w:t>
      </w:r>
    </w:p>
    <w:p w:rsidR="00496756" w:rsidRDefault="00496756" w:rsidP="00496756">
      <w:pPr>
        <w:pStyle w:val="ListParagraph"/>
        <w:numPr>
          <w:ilvl w:val="0"/>
          <w:numId w:val="5"/>
        </w:numPr>
      </w:pPr>
      <w:r>
        <w:t>Some MPR is always needed 1-3 dB</w:t>
      </w:r>
    </w:p>
    <w:p w:rsidR="00234409" w:rsidRDefault="00234409" w:rsidP="00234409">
      <w:pPr>
        <w:pStyle w:val="ListParagraph"/>
        <w:numPr>
          <w:ilvl w:val="0"/>
          <w:numId w:val="5"/>
        </w:numPr>
      </w:pPr>
      <w:r>
        <w:t>Close to edge for RBsize 3 – 10 RB  SEM is limiting and when RBsize &gt; 8 NRaclr is limiting factor RB</w:t>
      </w:r>
    </w:p>
    <w:p w:rsidR="00B27152" w:rsidRDefault="00B27152" w:rsidP="00496756">
      <w:pPr>
        <w:pStyle w:val="ListParagraph"/>
        <w:numPr>
          <w:ilvl w:val="0"/>
          <w:numId w:val="5"/>
        </w:numPr>
      </w:pPr>
      <w:r>
        <w:t>Typically for RBsize &lt; 70 allocations not at the edge of the channel, in-band emissions are limiting.</w:t>
      </w:r>
    </w:p>
    <w:p w:rsidR="00376E56" w:rsidRDefault="00496756" w:rsidP="00213924">
      <w:r>
        <w:t>64-QAM</w:t>
      </w:r>
    </w:p>
    <w:p w:rsidR="00496756" w:rsidRDefault="00496756" w:rsidP="00496756">
      <w:pPr>
        <w:pStyle w:val="ListParagraph"/>
        <w:numPr>
          <w:ilvl w:val="0"/>
          <w:numId w:val="6"/>
        </w:numPr>
      </w:pPr>
      <w:r>
        <w:t>3 dB MPR always needed</w:t>
      </w:r>
    </w:p>
    <w:p w:rsidR="00496756" w:rsidRPr="004875D2" w:rsidRDefault="00234409" w:rsidP="003871CE">
      <w:pPr>
        <w:pStyle w:val="ListParagraph"/>
        <w:numPr>
          <w:ilvl w:val="0"/>
          <w:numId w:val="6"/>
        </w:numPr>
      </w:pPr>
      <w:r>
        <w:t>Typically in-band emission limited but can be also NRaclr is limited</w:t>
      </w:r>
      <w:r w:rsidR="00496756" w:rsidRPr="004875D2">
        <w:t xml:space="preserve"> for </w:t>
      </w:r>
      <w:r>
        <w:t xml:space="preserve">some </w:t>
      </w:r>
      <w:r w:rsidR="00496756" w:rsidRPr="004875D2">
        <w:t>NRaclr &gt; 50 RB</w:t>
      </w:r>
      <w:r w:rsidR="00D60BD6">
        <w:t xml:space="preserve"> </w:t>
      </w:r>
      <w:r>
        <w:t>allocations</w:t>
      </w:r>
    </w:p>
    <w:p w:rsidR="00213924" w:rsidRDefault="00213924" w:rsidP="00213924">
      <w:pPr>
        <w:pStyle w:val="Heading3"/>
      </w:pPr>
      <w:r>
        <w:t>2.2.2</w:t>
      </w:r>
      <w:r>
        <w:tab/>
        <w:t>DFT-s-OFDM</w:t>
      </w:r>
    </w:p>
    <w:p w:rsidR="00904226" w:rsidRPr="00EA4C92" w:rsidRDefault="00904226" w:rsidP="00904226">
      <w:r>
        <w:t>Signal parameters are as follows</w:t>
      </w:r>
    </w:p>
    <w:p w:rsidR="00904226" w:rsidRDefault="00904226" w:rsidP="00904226">
      <w:pPr>
        <w:pStyle w:val="ListParagraph"/>
        <w:numPr>
          <w:ilvl w:val="0"/>
          <w:numId w:val="2"/>
        </w:numPr>
      </w:pPr>
      <w:r>
        <w:t>Spectrum utilization 106 RB for 20 MHz signal</w:t>
      </w:r>
      <w:r w:rsidR="00330BFB">
        <w:t xml:space="preserve"> (max allocation size is 100 RB)</w:t>
      </w:r>
    </w:p>
    <w:p w:rsidR="0064302F" w:rsidRDefault="0064302F" w:rsidP="0064302F">
      <w:pPr>
        <w:pStyle w:val="ListParagraph"/>
        <w:numPr>
          <w:ilvl w:val="0"/>
          <w:numId w:val="2"/>
        </w:numPr>
      </w:pPr>
      <w:r>
        <w:t>Subcarrier #0 of RB#52 is at the center frequency (i.e. no 7.5 kHz frequency shift)</w:t>
      </w:r>
    </w:p>
    <w:p w:rsidR="0064302F" w:rsidRDefault="0064302F" w:rsidP="0064302F">
      <w:pPr>
        <w:pStyle w:val="ListParagraph"/>
        <w:numPr>
          <w:ilvl w:val="0"/>
          <w:numId w:val="2"/>
        </w:numPr>
      </w:pPr>
      <w:r w:rsidRPr="00234409">
        <w:t xml:space="preserve">WOLA with slope length </w:t>
      </w:r>
      <w:r>
        <w:t>corresponding to 2% of the symbol + CP duration</w:t>
      </w:r>
    </w:p>
    <w:p w:rsidR="0064302F" w:rsidRPr="00234409" w:rsidRDefault="0064302F" w:rsidP="0064302F">
      <w:pPr>
        <w:pStyle w:val="ListParagraph"/>
        <w:numPr>
          <w:ilvl w:val="0"/>
          <w:numId w:val="2"/>
        </w:numPr>
      </w:pPr>
      <w:r>
        <w:t>No baseband channel filter</w:t>
      </w:r>
    </w:p>
    <w:p w:rsidR="00F03A70" w:rsidRDefault="00F03A70" w:rsidP="00376E56">
      <w:r>
        <w:rPr>
          <w:noProof/>
          <w:lang w:val="fi-FI" w:eastAsia="fi-FI"/>
        </w:rPr>
        <w:drawing>
          <wp:inline distT="0" distB="0" distL="0" distR="0" wp14:anchorId="140385AF" wp14:editId="662C4DB5">
            <wp:extent cx="2980800" cy="223161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orb1_20mhz_dfts_qpsk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800" cy="2231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fi-FI" w:eastAsia="fi-FI"/>
        </w:rPr>
        <w:drawing>
          <wp:inline distT="0" distB="0" distL="0" distR="0" wp14:anchorId="4CAE0F5D" wp14:editId="4C90513B">
            <wp:extent cx="2980800" cy="223161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oborb1_20mhz_dfts_16qam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800" cy="2231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3A70" w:rsidRDefault="00F03A70" w:rsidP="00376E56">
      <w:r>
        <w:rPr>
          <w:noProof/>
          <w:lang w:val="fi-FI" w:eastAsia="fi-FI"/>
        </w:rPr>
        <w:lastRenderedPageBreak/>
        <w:drawing>
          <wp:inline distT="0" distB="0" distL="0" distR="0" wp14:anchorId="5789143B" wp14:editId="40DA066E">
            <wp:extent cx="2980800" cy="223161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oborb1_20mhz_dfts_64qam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800" cy="2231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1F0D" w:rsidRDefault="00861F0D" w:rsidP="00376E56">
      <w:r>
        <w:t>QPSK</w:t>
      </w:r>
    </w:p>
    <w:p w:rsidR="00861F0D" w:rsidRDefault="00800F58" w:rsidP="00861F0D">
      <w:pPr>
        <w:pStyle w:val="ListParagraph"/>
        <w:numPr>
          <w:ilvl w:val="0"/>
          <w:numId w:val="7"/>
        </w:numPr>
      </w:pPr>
      <w:r>
        <w:t>QPSK does not need MPR which is logical as 0 dB MPR waveform is fully allocated QPSK signal</w:t>
      </w:r>
    </w:p>
    <w:p w:rsidR="00800F58" w:rsidRDefault="00800F58" w:rsidP="00800F58">
      <w:r>
        <w:t>16-QAM</w:t>
      </w:r>
    </w:p>
    <w:p w:rsidR="00800F58" w:rsidRDefault="007D76A2" w:rsidP="00861F0D">
      <w:pPr>
        <w:pStyle w:val="ListParagraph"/>
        <w:numPr>
          <w:ilvl w:val="0"/>
          <w:numId w:val="7"/>
        </w:numPr>
      </w:pPr>
      <w:r>
        <w:t>1 dB MPR is needed for some allocations</w:t>
      </w:r>
      <w:r w:rsidR="00D15C64">
        <w:t>, mainly large allocations and allocations close to the channel edges</w:t>
      </w:r>
    </w:p>
    <w:p w:rsidR="00800F58" w:rsidRDefault="00800F58" w:rsidP="00861F0D">
      <w:pPr>
        <w:pStyle w:val="ListParagraph"/>
        <w:numPr>
          <w:ilvl w:val="0"/>
          <w:numId w:val="7"/>
        </w:numPr>
      </w:pPr>
      <w:r>
        <w:t>RBsize 3 – 10 RB in the edge SEM is limiting factor</w:t>
      </w:r>
      <w:r w:rsidRPr="00800F58">
        <w:t xml:space="preserve"> </w:t>
      </w:r>
      <w:r>
        <w:t>and otherwise NRaclr is limiting factor</w:t>
      </w:r>
    </w:p>
    <w:p w:rsidR="007D76A2" w:rsidRDefault="007D76A2" w:rsidP="007D76A2">
      <w:r>
        <w:t>64-QAM</w:t>
      </w:r>
    </w:p>
    <w:p w:rsidR="007D76A2" w:rsidRDefault="00D15C64" w:rsidP="007D76A2">
      <w:pPr>
        <w:pStyle w:val="ListParagraph"/>
        <w:numPr>
          <w:ilvl w:val="0"/>
          <w:numId w:val="8"/>
        </w:numPr>
      </w:pPr>
      <w:r>
        <w:t xml:space="preserve">At least </w:t>
      </w:r>
      <w:r w:rsidR="007D76A2">
        <w:t>1 dB MPR is needed for all allocations</w:t>
      </w:r>
    </w:p>
    <w:p w:rsidR="007D76A2" w:rsidRPr="00D60BD6" w:rsidRDefault="007D76A2" w:rsidP="007D76A2">
      <w:pPr>
        <w:pStyle w:val="ListParagraph"/>
        <w:numPr>
          <w:ilvl w:val="0"/>
          <w:numId w:val="8"/>
        </w:numPr>
      </w:pPr>
      <w:r w:rsidRPr="00D60BD6">
        <w:t xml:space="preserve">NRaclr is limiting factor for RBsize &gt;  </w:t>
      </w:r>
      <w:r w:rsidR="00D15C64">
        <w:t>40</w:t>
      </w:r>
      <w:r w:rsidR="00D15C64" w:rsidRPr="00D60BD6">
        <w:t xml:space="preserve"> </w:t>
      </w:r>
      <w:r w:rsidRPr="00D60BD6">
        <w:t>RB</w:t>
      </w:r>
      <w:r w:rsidR="00D60BD6" w:rsidRPr="00D60BD6">
        <w:t xml:space="preserve"> otherwise in-band emissions are limiting</w:t>
      </w:r>
    </w:p>
    <w:bookmarkEnd w:id="3"/>
    <w:p w:rsidR="0043450E" w:rsidRDefault="0043450E" w:rsidP="0043450E">
      <w:pPr>
        <w:pStyle w:val="Heading1"/>
      </w:pPr>
      <w:r>
        <w:t>3</w:t>
      </w:r>
      <w:r>
        <w:tab/>
        <w:t>Conclusion</w:t>
      </w:r>
    </w:p>
    <w:p w:rsidR="00B11ACC" w:rsidRDefault="00FE097A" w:rsidP="00B11ACC">
      <w:r>
        <w:t>Simulation results for MPR for 20 MHz channel at 15 kHz subcarrier spacing were presented for CP-OFDM and DFT-s-OFDM waveforms.</w:t>
      </w:r>
    </w:p>
    <w:p w:rsidR="002B0D79" w:rsidRDefault="002B0D79" w:rsidP="00B11ACC">
      <w:r>
        <w:t>Further more we have done following proposal for UE Tx chain assumptions.</w:t>
      </w:r>
    </w:p>
    <w:p w:rsidR="002B0D79" w:rsidRPr="0097777E" w:rsidRDefault="002B0D79" w:rsidP="002B0D79">
      <w:pPr>
        <w:rPr>
          <w:b/>
        </w:rPr>
      </w:pPr>
      <w:r w:rsidRPr="0097777E">
        <w:rPr>
          <w:b/>
        </w:rPr>
        <w:t>Proposal: Use following UE Tx chain assumptions for NR Sub 6 GHz MPR simulations for modulations up to 64-QAM</w:t>
      </w:r>
    </w:p>
    <w:p w:rsidR="002B0D79" w:rsidRPr="0097777E" w:rsidRDefault="002B0D79" w:rsidP="002B0D79">
      <w:pPr>
        <w:pStyle w:val="ListParagraph"/>
        <w:numPr>
          <w:ilvl w:val="0"/>
          <w:numId w:val="14"/>
        </w:numPr>
        <w:rPr>
          <w:b/>
        </w:rPr>
      </w:pPr>
      <w:r w:rsidRPr="0097777E">
        <w:rPr>
          <w:b/>
        </w:rPr>
        <w:t>PA calibration point: No MPR allowed for 100 RB QPSK DFT-s-OFDM (15KHz SCS) signal</w:t>
      </w:r>
    </w:p>
    <w:p w:rsidR="002B0D79" w:rsidRPr="0097777E" w:rsidRDefault="002B0D79" w:rsidP="002B0D79">
      <w:pPr>
        <w:pStyle w:val="ListParagraph"/>
        <w:numPr>
          <w:ilvl w:val="0"/>
          <w:numId w:val="14"/>
        </w:numPr>
        <w:rPr>
          <w:b/>
        </w:rPr>
      </w:pPr>
      <w:r w:rsidRPr="0097777E">
        <w:rPr>
          <w:b/>
        </w:rPr>
        <w:t>IQ suppression 30 dBc</w:t>
      </w:r>
    </w:p>
    <w:p w:rsidR="002B0D79" w:rsidRPr="0097777E" w:rsidRDefault="002B0D79" w:rsidP="002B0D79">
      <w:pPr>
        <w:pStyle w:val="ListParagraph"/>
        <w:numPr>
          <w:ilvl w:val="0"/>
          <w:numId w:val="14"/>
        </w:numPr>
        <w:rPr>
          <w:b/>
        </w:rPr>
      </w:pPr>
      <w:r w:rsidRPr="0097777E">
        <w:rPr>
          <w:b/>
        </w:rPr>
        <w:t>Carrier leakage 28 dBc</w:t>
      </w:r>
    </w:p>
    <w:p w:rsidR="002B0D79" w:rsidRPr="0097777E" w:rsidRDefault="002B0D79" w:rsidP="002B0D79">
      <w:pPr>
        <w:pStyle w:val="ListParagraph"/>
        <w:numPr>
          <w:ilvl w:val="0"/>
          <w:numId w:val="14"/>
        </w:numPr>
        <w:rPr>
          <w:b/>
        </w:rPr>
      </w:pPr>
      <w:r w:rsidRPr="0097777E">
        <w:rPr>
          <w:b/>
        </w:rPr>
        <w:t>CIM3 = 60 dBc</w:t>
      </w:r>
    </w:p>
    <w:p w:rsidR="0043450E" w:rsidRDefault="0043450E" w:rsidP="0043450E">
      <w:pPr>
        <w:pStyle w:val="Heading1"/>
      </w:pPr>
      <w:r>
        <w:t>4</w:t>
      </w:r>
      <w:r>
        <w:tab/>
        <w:t>References</w:t>
      </w:r>
    </w:p>
    <w:p w:rsidR="00D15C64" w:rsidRDefault="00D15C64" w:rsidP="00546866">
      <w:r>
        <w:t>[1]</w:t>
      </w:r>
      <w:r>
        <w:tab/>
      </w:r>
      <w:r w:rsidRPr="00D15C64">
        <w:t>R4-1706691</w:t>
      </w:r>
      <w:r>
        <w:t xml:space="preserve">, </w:t>
      </w:r>
      <w:r w:rsidRPr="00D15C64">
        <w:t>Simulation and measurement results for NR Sub-6 GHz CP-OFDM and DFT-s-OFDM waveforms</w:t>
      </w:r>
      <w:r>
        <w:t xml:space="preserve">, </w:t>
      </w:r>
      <w:r w:rsidRPr="00D15C64">
        <w:t>Nokia, Alcatel-Lucent Shanghai Bell, Skyworks Solutions, Inc.</w:t>
      </w:r>
      <w:r>
        <w:t>, RAN4 Meeting NR#2</w:t>
      </w:r>
    </w:p>
    <w:p w:rsidR="0071408B" w:rsidRDefault="009D30E5" w:rsidP="00546866">
      <w:r>
        <w:t>[</w:t>
      </w:r>
      <w:r w:rsidR="00D15C64">
        <w:t>2</w:t>
      </w:r>
      <w:r>
        <w:t>]</w:t>
      </w:r>
      <w:r>
        <w:tab/>
      </w:r>
      <w:r w:rsidR="00D86D51" w:rsidRPr="00D86D51">
        <w:t>R4-1706690</w:t>
      </w:r>
      <w:r w:rsidR="00D86D51">
        <w:t xml:space="preserve">, </w:t>
      </w:r>
      <w:r w:rsidR="00D86D51" w:rsidRPr="00D86D51">
        <w:t>NR Sub- 6 GHz MPR simulation assumptions</w:t>
      </w:r>
      <w:r w:rsidR="00D86D51">
        <w:t xml:space="preserve">, </w:t>
      </w:r>
      <w:r w:rsidR="00D86D51" w:rsidRPr="00D86D51">
        <w:t>Nokia, Alcatel-Lucent Shanghai Bell, Skyworks Solutions, Inc.</w:t>
      </w:r>
      <w:r w:rsidR="00D86D51">
        <w:t>,</w:t>
      </w:r>
      <w:r w:rsidR="00D86D51" w:rsidRPr="00D86D51">
        <w:t xml:space="preserve"> </w:t>
      </w:r>
      <w:r w:rsidR="00D86D51">
        <w:t>RAN4 Meeting NR#2</w:t>
      </w:r>
    </w:p>
    <w:p w:rsidR="009D30E5" w:rsidRDefault="00C40932" w:rsidP="00546866">
      <w:r>
        <w:t>[3]</w:t>
      </w:r>
      <w:r>
        <w:tab/>
      </w:r>
      <w:r w:rsidRPr="00C40932">
        <w:t>WF on MPR evaluation assumption</w:t>
      </w:r>
      <w:r>
        <w:t>, NTT DOCOMO, Inc., RAN4 Meeting NR#2</w:t>
      </w:r>
    </w:p>
    <w:p w:rsidR="009D30E5" w:rsidRDefault="009D30E5" w:rsidP="00546866">
      <w:r>
        <w:t>[</w:t>
      </w:r>
      <w:r w:rsidR="00C40932">
        <w:t>4</w:t>
      </w:r>
      <w:r>
        <w:t>]</w:t>
      </w:r>
      <w:r>
        <w:tab/>
        <w:t xml:space="preserve">R4-1707702, </w:t>
      </w:r>
      <w:r w:rsidRPr="009D30E5">
        <w:t>Impact of ACLR Measurement BW and TRX Impairments on NR UE MPR</w:t>
      </w:r>
      <w:r>
        <w:t xml:space="preserve">, </w:t>
      </w:r>
      <w:r w:rsidRPr="009D30E5">
        <w:t>Skyworks Solutions, Inc., Nokia, NokiaAlcatel-Lucent Shanghai Bell</w:t>
      </w:r>
      <w:r>
        <w:t>, RAN4#84</w:t>
      </w:r>
    </w:p>
    <w:sectPr w:rsidR="009D30E5">
      <w:headerReference w:type="even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66F" w:rsidRDefault="0055166F" w:rsidP="002B3503">
      <w:pPr>
        <w:spacing w:after="0"/>
      </w:pPr>
      <w:r>
        <w:separator/>
      </w:r>
    </w:p>
  </w:endnote>
  <w:endnote w:type="continuationSeparator" w:id="0">
    <w:p w:rsidR="0055166F" w:rsidRDefault="0055166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66F" w:rsidRDefault="0055166F" w:rsidP="002B3503">
      <w:pPr>
        <w:spacing w:after="0"/>
      </w:pPr>
      <w:r>
        <w:separator/>
      </w:r>
    </w:p>
  </w:footnote>
  <w:footnote w:type="continuationSeparator" w:id="0">
    <w:p w:rsidR="0055166F" w:rsidRDefault="0055166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5A2" w:rsidRDefault="00E765A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205A1"/>
    <w:multiLevelType w:val="hybridMultilevel"/>
    <w:tmpl w:val="4DCE6A7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04D5E"/>
    <w:multiLevelType w:val="hybridMultilevel"/>
    <w:tmpl w:val="8CB216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F1402"/>
    <w:multiLevelType w:val="hybridMultilevel"/>
    <w:tmpl w:val="A98CF2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660322"/>
    <w:multiLevelType w:val="hybridMultilevel"/>
    <w:tmpl w:val="DB3AC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DC5DAD"/>
    <w:multiLevelType w:val="hybridMultilevel"/>
    <w:tmpl w:val="037E50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5914C6"/>
    <w:multiLevelType w:val="hybridMultilevel"/>
    <w:tmpl w:val="519647A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27D14"/>
    <w:multiLevelType w:val="hybridMultilevel"/>
    <w:tmpl w:val="78F4C8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4E7549"/>
    <w:multiLevelType w:val="hybridMultilevel"/>
    <w:tmpl w:val="87D8D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7261F4"/>
    <w:multiLevelType w:val="hybridMultilevel"/>
    <w:tmpl w:val="20EC474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8B1518"/>
    <w:multiLevelType w:val="hybridMultilevel"/>
    <w:tmpl w:val="BECADB0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8E7B37"/>
    <w:multiLevelType w:val="hybridMultilevel"/>
    <w:tmpl w:val="7436A72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E22F38"/>
    <w:multiLevelType w:val="hybridMultilevel"/>
    <w:tmpl w:val="46D82D2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306343"/>
    <w:multiLevelType w:val="hybridMultilevel"/>
    <w:tmpl w:val="8124E8B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955038"/>
    <w:multiLevelType w:val="hybridMultilevel"/>
    <w:tmpl w:val="5A04A13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3"/>
  </w:num>
  <w:num w:numId="5">
    <w:abstractNumId w:val="2"/>
  </w:num>
  <w:num w:numId="6">
    <w:abstractNumId w:val="10"/>
  </w:num>
  <w:num w:numId="7">
    <w:abstractNumId w:val="9"/>
  </w:num>
  <w:num w:numId="8">
    <w:abstractNumId w:val="1"/>
  </w:num>
  <w:num w:numId="9">
    <w:abstractNumId w:val="12"/>
  </w:num>
  <w:num w:numId="10">
    <w:abstractNumId w:val="8"/>
  </w:num>
  <w:num w:numId="11">
    <w:abstractNumId w:val="11"/>
  </w:num>
  <w:num w:numId="12">
    <w:abstractNumId w:val="3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D5B6E"/>
    <w:rsid w:val="000E5264"/>
    <w:rsid w:val="000F3170"/>
    <w:rsid w:val="00122059"/>
    <w:rsid w:val="00140C3A"/>
    <w:rsid w:val="001806FD"/>
    <w:rsid w:val="00185C13"/>
    <w:rsid w:val="00195589"/>
    <w:rsid w:val="001A3A38"/>
    <w:rsid w:val="001B707A"/>
    <w:rsid w:val="00213924"/>
    <w:rsid w:val="00234256"/>
    <w:rsid w:val="00234409"/>
    <w:rsid w:val="00247988"/>
    <w:rsid w:val="00272462"/>
    <w:rsid w:val="002B0D79"/>
    <w:rsid w:val="002B3503"/>
    <w:rsid w:val="002B42C5"/>
    <w:rsid w:val="002E5CE2"/>
    <w:rsid w:val="002E72AD"/>
    <w:rsid w:val="00330BFB"/>
    <w:rsid w:val="0037171D"/>
    <w:rsid w:val="00374C57"/>
    <w:rsid w:val="00376E56"/>
    <w:rsid w:val="00381082"/>
    <w:rsid w:val="003871CE"/>
    <w:rsid w:val="003E7AF9"/>
    <w:rsid w:val="003F1E75"/>
    <w:rsid w:val="003F47B9"/>
    <w:rsid w:val="004275DE"/>
    <w:rsid w:val="0043450E"/>
    <w:rsid w:val="004875D2"/>
    <w:rsid w:val="00496756"/>
    <w:rsid w:val="00512070"/>
    <w:rsid w:val="005269FC"/>
    <w:rsid w:val="00536341"/>
    <w:rsid w:val="00546866"/>
    <w:rsid w:val="0055166F"/>
    <w:rsid w:val="005D1379"/>
    <w:rsid w:val="006254A2"/>
    <w:rsid w:val="0064302F"/>
    <w:rsid w:val="00654BE8"/>
    <w:rsid w:val="00672216"/>
    <w:rsid w:val="006750F7"/>
    <w:rsid w:val="00686419"/>
    <w:rsid w:val="006B23F8"/>
    <w:rsid w:val="006C6840"/>
    <w:rsid w:val="00701AFB"/>
    <w:rsid w:val="0071408B"/>
    <w:rsid w:val="007167B8"/>
    <w:rsid w:val="00731357"/>
    <w:rsid w:val="007329FE"/>
    <w:rsid w:val="007A2898"/>
    <w:rsid w:val="007A7BF6"/>
    <w:rsid w:val="007D3CDC"/>
    <w:rsid w:val="007D76A2"/>
    <w:rsid w:val="00800F58"/>
    <w:rsid w:val="00847CB5"/>
    <w:rsid w:val="008509C6"/>
    <w:rsid w:val="00861F0D"/>
    <w:rsid w:val="008916CA"/>
    <w:rsid w:val="00891D74"/>
    <w:rsid w:val="008A2C58"/>
    <w:rsid w:val="008A4493"/>
    <w:rsid w:val="008B1F1B"/>
    <w:rsid w:val="008D6A8F"/>
    <w:rsid w:val="00904226"/>
    <w:rsid w:val="0093092D"/>
    <w:rsid w:val="00940559"/>
    <w:rsid w:val="00971D19"/>
    <w:rsid w:val="009D30E5"/>
    <w:rsid w:val="009F1392"/>
    <w:rsid w:val="00A31BC0"/>
    <w:rsid w:val="00A451E8"/>
    <w:rsid w:val="00A51024"/>
    <w:rsid w:val="00A610E5"/>
    <w:rsid w:val="00AA78D5"/>
    <w:rsid w:val="00AE6987"/>
    <w:rsid w:val="00B068AC"/>
    <w:rsid w:val="00B11ACC"/>
    <w:rsid w:val="00B27152"/>
    <w:rsid w:val="00B47478"/>
    <w:rsid w:val="00B72632"/>
    <w:rsid w:val="00BC764C"/>
    <w:rsid w:val="00C40932"/>
    <w:rsid w:val="00CC65D5"/>
    <w:rsid w:val="00D15C64"/>
    <w:rsid w:val="00D60BD6"/>
    <w:rsid w:val="00D86D51"/>
    <w:rsid w:val="00DC09E6"/>
    <w:rsid w:val="00DE7BD1"/>
    <w:rsid w:val="00DF45B3"/>
    <w:rsid w:val="00E1695A"/>
    <w:rsid w:val="00E765A2"/>
    <w:rsid w:val="00EA4C92"/>
    <w:rsid w:val="00EA6CE2"/>
    <w:rsid w:val="00EC63FC"/>
    <w:rsid w:val="00F03A70"/>
    <w:rsid w:val="00F11A7D"/>
    <w:rsid w:val="00F545B4"/>
    <w:rsid w:val="00FA6EF3"/>
    <w:rsid w:val="00FE097A"/>
    <w:rsid w:val="00FF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E85DB29-8F24-4F1C-ABD3-A809A739A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634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5363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363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363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63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63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6341"/>
    <w:pPr>
      <w:outlineLvl w:val="5"/>
    </w:pPr>
  </w:style>
  <w:style w:type="paragraph" w:styleId="Heading7">
    <w:name w:val="heading 7"/>
    <w:basedOn w:val="H6"/>
    <w:next w:val="Normal"/>
    <w:qFormat/>
    <w:rsid w:val="00536341"/>
    <w:pPr>
      <w:outlineLvl w:val="6"/>
    </w:pPr>
  </w:style>
  <w:style w:type="paragraph" w:styleId="Heading8">
    <w:name w:val="heading 8"/>
    <w:basedOn w:val="Heading1"/>
    <w:next w:val="Normal"/>
    <w:qFormat/>
    <w:rsid w:val="005363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6341"/>
    <w:pPr>
      <w:outlineLvl w:val="8"/>
    </w:pPr>
  </w:style>
  <w:style w:type="character" w:default="1" w:styleId="DefaultParagraphFont">
    <w:name w:val="Default Paragraph Font"/>
    <w:semiHidden/>
    <w:rsid w:val="005363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36341"/>
  </w:style>
  <w:style w:type="paragraph" w:styleId="TOC8">
    <w:name w:val="toc 8"/>
    <w:basedOn w:val="TOC1"/>
    <w:semiHidden/>
    <w:rsid w:val="00536341"/>
    <w:pPr>
      <w:spacing w:before="180"/>
      <w:ind w:left="2693" w:hanging="2693"/>
    </w:pPr>
    <w:rPr>
      <w:b/>
    </w:rPr>
  </w:style>
  <w:style w:type="paragraph" w:styleId="TOC1">
    <w:name w:val="toc 1"/>
    <w:semiHidden/>
    <w:rsid w:val="005363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363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6341"/>
    <w:pPr>
      <w:ind w:left="1701" w:hanging="1701"/>
    </w:pPr>
  </w:style>
  <w:style w:type="paragraph" w:styleId="TOC4">
    <w:name w:val="toc 4"/>
    <w:basedOn w:val="TOC3"/>
    <w:semiHidden/>
    <w:rsid w:val="00536341"/>
    <w:pPr>
      <w:ind w:left="1418" w:hanging="1418"/>
    </w:pPr>
  </w:style>
  <w:style w:type="paragraph" w:styleId="TOC3">
    <w:name w:val="toc 3"/>
    <w:basedOn w:val="TOC2"/>
    <w:semiHidden/>
    <w:rsid w:val="00536341"/>
    <w:pPr>
      <w:ind w:left="1134" w:hanging="1134"/>
    </w:pPr>
  </w:style>
  <w:style w:type="paragraph" w:styleId="TOC2">
    <w:name w:val="toc 2"/>
    <w:basedOn w:val="TOC1"/>
    <w:semiHidden/>
    <w:rsid w:val="005363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6341"/>
    <w:pPr>
      <w:ind w:left="284"/>
    </w:pPr>
  </w:style>
  <w:style w:type="paragraph" w:styleId="Index1">
    <w:name w:val="index 1"/>
    <w:basedOn w:val="Normal"/>
    <w:semiHidden/>
    <w:rsid w:val="00536341"/>
    <w:pPr>
      <w:keepLines/>
      <w:spacing w:after="0"/>
    </w:pPr>
  </w:style>
  <w:style w:type="paragraph" w:customStyle="1" w:styleId="ZH">
    <w:name w:val="ZH"/>
    <w:rsid w:val="005363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36341"/>
    <w:pPr>
      <w:outlineLvl w:val="9"/>
    </w:pPr>
  </w:style>
  <w:style w:type="paragraph" w:styleId="ListNumber2">
    <w:name w:val="List Number 2"/>
    <w:basedOn w:val="ListNumber"/>
    <w:semiHidden/>
    <w:rsid w:val="00536341"/>
    <w:pPr>
      <w:ind w:left="851"/>
    </w:pPr>
  </w:style>
  <w:style w:type="paragraph" w:styleId="Header">
    <w:name w:val="header"/>
    <w:aliases w:val="header odd"/>
    <w:link w:val="HeaderChar"/>
    <w:rsid w:val="005363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36341"/>
    <w:rPr>
      <w:b/>
      <w:position w:val="6"/>
      <w:sz w:val="16"/>
    </w:rPr>
  </w:style>
  <w:style w:type="paragraph" w:styleId="FootnoteText">
    <w:name w:val="footnote text"/>
    <w:basedOn w:val="Normal"/>
    <w:semiHidden/>
    <w:rsid w:val="0053634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6341"/>
    <w:rPr>
      <w:b/>
    </w:rPr>
  </w:style>
  <w:style w:type="paragraph" w:customStyle="1" w:styleId="TAC">
    <w:name w:val="TAC"/>
    <w:basedOn w:val="TAL"/>
    <w:rsid w:val="00536341"/>
    <w:pPr>
      <w:jc w:val="center"/>
    </w:pPr>
  </w:style>
  <w:style w:type="paragraph" w:customStyle="1" w:styleId="TF">
    <w:name w:val="TF"/>
    <w:basedOn w:val="TH"/>
    <w:rsid w:val="00536341"/>
    <w:pPr>
      <w:keepNext w:val="0"/>
      <w:spacing w:before="0" w:after="240"/>
    </w:pPr>
  </w:style>
  <w:style w:type="paragraph" w:customStyle="1" w:styleId="NO">
    <w:name w:val="NO"/>
    <w:basedOn w:val="Normal"/>
    <w:rsid w:val="00536341"/>
    <w:pPr>
      <w:keepLines/>
      <w:ind w:left="1135" w:hanging="851"/>
    </w:pPr>
  </w:style>
  <w:style w:type="paragraph" w:styleId="TOC9">
    <w:name w:val="toc 9"/>
    <w:basedOn w:val="TOC8"/>
    <w:semiHidden/>
    <w:rsid w:val="00536341"/>
    <w:pPr>
      <w:ind w:left="1418" w:hanging="1418"/>
    </w:pPr>
  </w:style>
  <w:style w:type="paragraph" w:customStyle="1" w:styleId="EX">
    <w:name w:val="EX"/>
    <w:basedOn w:val="Normal"/>
    <w:rsid w:val="00536341"/>
    <w:pPr>
      <w:keepLines/>
      <w:ind w:left="1702" w:hanging="1418"/>
    </w:pPr>
  </w:style>
  <w:style w:type="paragraph" w:customStyle="1" w:styleId="FP">
    <w:name w:val="FP"/>
    <w:basedOn w:val="Normal"/>
    <w:rsid w:val="00536341"/>
    <w:pPr>
      <w:spacing w:after="0"/>
    </w:pPr>
  </w:style>
  <w:style w:type="paragraph" w:customStyle="1" w:styleId="LD">
    <w:name w:val="LD"/>
    <w:rsid w:val="005363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36341"/>
    <w:pPr>
      <w:spacing w:after="0"/>
    </w:pPr>
  </w:style>
  <w:style w:type="paragraph" w:customStyle="1" w:styleId="EW">
    <w:name w:val="EW"/>
    <w:basedOn w:val="EX"/>
    <w:rsid w:val="00536341"/>
    <w:pPr>
      <w:spacing w:after="0"/>
    </w:pPr>
  </w:style>
  <w:style w:type="paragraph" w:styleId="TOC6">
    <w:name w:val="toc 6"/>
    <w:basedOn w:val="TOC5"/>
    <w:next w:val="Normal"/>
    <w:semiHidden/>
    <w:rsid w:val="00536341"/>
    <w:pPr>
      <w:ind w:left="1985" w:hanging="1985"/>
    </w:pPr>
  </w:style>
  <w:style w:type="paragraph" w:styleId="TOC7">
    <w:name w:val="toc 7"/>
    <w:basedOn w:val="TOC6"/>
    <w:next w:val="Normal"/>
    <w:semiHidden/>
    <w:rsid w:val="00536341"/>
    <w:pPr>
      <w:ind w:left="2268" w:hanging="2268"/>
    </w:pPr>
  </w:style>
  <w:style w:type="paragraph" w:styleId="ListBullet2">
    <w:name w:val="List Bullet 2"/>
    <w:basedOn w:val="ListBullet"/>
    <w:semiHidden/>
    <w:rsid w:val="00536341"/>
    <w:pPr>
      <w:ind w:left="851"/>
    </w:pPr>
  </w:style>
  <w:style w:type="paragraph" w:styleId="ListBullet3">
    <w:name w:val="List Bullet 3"/>
    <w:basedOn w:val="ListBullet2"/>
    <w:semiHidden/>
    <w:rsid w:val="00536341"/>
    <w:pPr>
      <w:ind w:left="1135"/>
    </w:pPr>
  </w:style>
  <w:style w:type="paragraph" w:styleId="ListNumber">
    <w:name w:val="List Number"/>
    <w:basedOn w:val="List"/>
    <w:semiHidden/>
    <w:rsid w:val="00536341"/>
  </w:style>
  <w:style w:type="paragraph" w:customStyle="1" w:styleId="EQ">
    <w:name w:val="EQ"/>
    <w:basedOn w:val="Normal"/>
    <w:next w:val="Normal"/>
    <w:rsid w:val="005363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363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363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63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36341"/>
    <w:pPr>
      <w:jc w:val="right"/>
    </w:pPr>
  </w:style>
  <w:style w:type="paragraph" w:customStyle="1" w:styleId="H6">
    <w:name w:val="H6"/>
    <w:basedOn w:val="Heading5"/>
    <w:next w:val="Normal"/>
    <w:rsid w:val="005363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36341"/>
    <w:pPr>
      <w:ind w:left="851" w:hanging="851"/>
    </w:pPr>
  </w:style>
  <w:style w:type="paragraph" w:customStyle="1" w:styleId="TAL">
    <w:name w:val="TAL"/>
    <w:basedOn w:val="Normal"/>
    <w:rsid w:val="0053634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363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363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363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363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36341"/>
    <w:pPr>
      <w:framePr w:wrap="notBeside" w:y="16161"/>
    </w:pPr>
  </w:style>
  <w:style w:type="character" w:customStyle="1" w:styleId="ZGSM">
    <w:name w:val="ZGSM"/>
    <w:rsid w:val="00536341"/>
  </w:style>
  <w:style w:type="paragraph" w:styleId="List2">
    <w:name w:val="List 2"/>
    <w:basedOn w:val="List"/>
    <w:semiHidden/>
    <w:rsid w:val="00536341"/>
    <w:pPr>
      <w:ind w:left="851"/>
    </w:pPr>
  </w:style>
  <w:style w:type="paragraph" w:customStyle="1" w:styleId="ZG">
    <w:name w:val="ZG"/>
    <w:rsid w:val="005363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536341"/>
    <w:pPr>
      <w:ind w:left="1135"/>
    </w:pPr>
  </w:style>
  <w:style w:type="paragraph" w:styleId="List4">
    <w:name w:val="List 4"/>
    <w:basedOn w:val="List3"/>
    <w:semiHidden/>
    <w:rsid w:val="00536341"/>
    <w:pPr>
      <w:ind w:left="1418"/>
    </w:pPr>
  </w:style>
  <w:style w:type="paragraph" w:styleId="List5">
    <w:name w:val="List 5"/>
    <w:basedOn w:val="List4"/>
    <w:semiHidden/>
    <w:rsid w:val="00536341"/>
    <w:pPr>
      <w:ind w:left="1702"/>
    </w:pPr>
  </w:style>
  <w:style w:type="paragraph" w:customStyle="1" w:styleId="EditorsNote">
    <w:name w:val="Editor's Note"/>
    <w:basedOn w:val="NO"/>
    <w:rsid w:val="00536341"/>
    <w:rPr>
      <w:color w:val="FF0000"/>
    </w:rPr>
  </w:style>
  <w:style w:type="paragraph" w:styleId="List">
    <w:name w:val="List"/>
    <w:basedOn w:val="Normal"/>
    <w:semiHidden/>
    <w:rsid w:val="00536341"/>
    <w:pPr>
      <w:ind w:left="568" w:hanging="284"/>
    </w:pPr>
  </w:style>
  <w:style w:type="paragraph" w:styleId="ListBullet">
    <w:name w:val="List Bullet"/>
    <w:basedOn w:val="List"/>
    <w:semiHidden/>
    <w:rsid w:val="00536341"/>
  </w:style>
  <w:style w:type="paragraph" w:styleId="ListBullet4">
    <w:name w:val="List Bullet 4"/>
    <w:basedOn w:val="ListBullet3"/>
    <w:semiHidden/>
    <w:rsid w:val="00536341"/>
    <w:pPr>
      <w:ind w:left="1418"/>
    </w:pPr>
  </w:style>
  <w:style w:type="paragraph" w:styleId="ListBullet5">
    <w:name w:val="List Bullet 5"/>
    <w:basedOn w:val="ListBullet4"/>
    <w:semiHidden/>
    <w:rsid w:val="00536341"/>
    <w:pPr>
      <w:ind w:left="1702"/>
    </w:pPr>
  </w:style>
  <w:style w:type="paragraph" w:customStyle="1" w:styleId="B1">
    <w:name w:val="B1"/>
    <w:basedOn w:val="List"/>
    <w:rsid w:val="00536341"/>
  </w:style>
  <w:style w:type="paragraph" w:customStyle="1" w:styleId="B2">
    <w:name w:val="B2"/>
    <w:basedOn w:val="List2"/>
    <w:rsid w:val="00536341"/>
  </w:style>
  <w:style w:type="paragraph" w:customStyle="1" w:styleId="B3">
    <w:name w:val="B3"/>
    <w:basedOn w:val="List3"/>
    <w:rsid w:val="00536341"/>
  </w:style>
  <w:style w:type="paragraph" w:customStyle="1" w:styleId="B4">
    <w:name w:val="B4"/>
    <w:basedOn w:val="List4"/>
    <w:rsid w:val="00536341"/>
  </w:style>
  <w:style w:type="paragraph" w:customStyle="1" w:styleId="B5">
    <w:name w:val="B5"/>
    <w:basedOn w:val="List5"/>
    <w:rsid w:val="00536341"/>
  </w:style>
  <w:style w:type="paragraph" w:styleId="Footer">
    <w:name w:val="footer"/>
    <w:basedOn w:val="Header"/>
    <w:semiHidden/>
    <w:rsid w:val="00536341"/>
    <w:pPr>
      <w:jc w:val="center"/>
    </w:pPr>
    <w:rPr>
      <w:i/>
    </w:rPr>
  </w:style>
  <w:style w:type="paragraph" w:customStyle="1" w:styleId="ZTD">
    <w:name w:val="ZTD"/>
    <w:basedOn w:val="ZB"/>
    <w:rsid w:val="0053634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21392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EA4C9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220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205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2059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20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2059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20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059"/>
    <w:rPr>
      <w:rFonts w:ascii="Segoe UI" w:hAnsi="Segoe UI" w:cs="Segoe UI"/>
      <w:sz w:val="18"/>
      <w:szCs w:val="18"/>
      <w:lang w:val="en-GB" w:eastAsia="en-US"/>
    </w:rPr>
  </w:style>
  <w:style w:type="paragraph" w:customStyle="1" w:styleId="TableText">
    <w:name w:val="TableText"/>
    <w:basedOn w:val="BodyTextIndent"/>
    <w:rsid w:val="008B1F1B"/>
    <w:pPr>
      <w:widowControl w:val="0"/>
      <w:spacing w:after="180"/>
      <w:ind w:left="210"/>
      <w:jc w:val="both"/>
    </w:pPr>
    <w:rPr>
      <w:snapToGrid w:val="0"/>
      <w:kern w:val="2"/>
      <w:sz w:val="21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B1F1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B1F1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2E5C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"/>
    <w:link w:val="Header"/>
    <w:rsid w:val="00B11ACC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5363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02389-2643-41FD-B47C-5A7EE1341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606</Words>
  <Characters>4910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cp:lastModifiedBy>Vasenkari, Petri J. (Nokia - FI/Espoo)</cp:lastModifiedBy>
  <cp:revision>3</cp:revision>
  <cp:lastPrinted>1900-12-31T22:00:00Z</cp:lastPrinted>
  <dcterms:created xsi:type="dcterms:W3CDTF">2017-08-11T12:21:00Z</dcterms:created>
  <dcterms:modified xsi:type="dcterms:W3CDTF">2017-08-11T12:36:00Z</dcterms:modified>
</cp:coreProperties>
</file>